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FC" w:rsidRDefault="00DC67FC">
      <w:pPr>
        <w:pStyle w:val="ConsPlusTitle"/>
        <w:jc w:val="center"/>
      </w:pPr>
      <w:r>
        <w:t>ФЕДЕРАЛЬНАЯ АНТИМОНОПОЛЬНАЯ СЛУЖБА</w:t>
      </w:r>
    </w:p>
    <w:p w:rsidR="00DC67FC" w:rsidRDefault="00DC67FC">
      <w:pPr>
        <w:pStyle w:val="ConsPlusTitle"/>
        <w:jc w:val="center"/>
      </w:pPr>
    </w:p>
    <w:p w:rsidR="00DC67FC" w:rsidRDefault="00DC67FC">
      <w:pPr>
        <w:pStyle w:val="ConsPlusTitle"/>
        <w:jc w:val="center"/>
      </w:pPr>
      <w:r>
        <w:t>ПИСЬМО</w:t>
      </w:r>
    </w:p>
    <w:p w:rsidR="00DC67FC" w:rsidRDefault="00DC67FC">
      <w:pPr>
        <w:pStyle w:val="ConsPlusTitle"/>
        <w:jc w:val="center"/>
      </w:pPr>
      <w:r>
        <w:t>от 29 сентября 2020 г. N ИА/84079/20</w:t>
      </w:r>
    </w:p>
    <w:p w:rsidR="00DC67FC" w:rsidRDefault="00DC67FC">
      <w:pPr>
        <w:pStyle w:val="ConsPlusTitle"/>
        <w:jc w:val="center"/>
      </w:pPr>
    </w:p>
    <w:p w:rsidR="00DC67FC" w:rsidRDefault="00DC67FC">
      <w:pPr>
        <w:pStyle w:val="ConsPlusTitle"/>
        <w:jc w:val="center"/>
      </w:pPr>
      <w:r>
        <w:t>ПО ВОПРОСАМ</w:t>
      </w:r>
    </w:p>
    <w:p w:rsidR="00DC67FC" w:rsidRDefault="00DC67FC">
      <w:pPr>
        <w:pStyle w:val="ConsPlusTitle"/>
        <w:jc w:val="center"/>
      </w:pPr>
      <w:r>
        <w:t>НАПРАВЛЕНИЯ (РАССМОТРЕНИЯ) ЗАЯВОК НА УЧАСТИЕ В АУКЦИОНАХ</w:t>
      </w:r>
    </w:p>
    <w:p w:rsidR="00DC67FC" w:rsidRDefault="00DC67FC">
      <w:pPr>
        <w:pStyle w:val="ConsPlusTitle"/>
        <w:jc w:val="center"/>
      </w:pPr>
      <w:r>
        <w:t>В СЛУЧАЕ УСТАНОВЛЕНИЯ ЗАКАЗЧИКАМИ ОГРАНИЧЕНИЙ ДОСТУПА</w:t>
      </w:r>
    </w:p>
    <w:p w:rsidR="00DC67FC" w:rsidRDefault="00DC67FC">
      <w:pPr>
        <w:pStyle w:val="ConsPlusTitle"/>
        <w:jc w:val="center"/>
      </w:pPr>
      <w:r>
        <w:t>ИНОСТРАННОЙ ПРОДУКЦИИ</w:t>
      </w:r>
    </w:p>
    <w:p w:rsidR="00DC67FC" w:rsidRDefault="00DC67FC">
      <w:pPr>
        <w:pStyle w:val="ConsPlusNormal"/>
        <w:jc w:val="both"/>
      </w:pPr>
    </w:p>
    <w:p w:rsidR="00DC67FC" w:rsidRDefault="00DC67FC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 в связи с поступающими вопросами и на основании </w:t>
      </w:r>
      <w:hyperlink r:id="rId4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системе), возникающих при рассмотрении жалоб на действия (бездействие) субъектов контроля.</w:t>
      </w:r>
    </w:p>
    <w:p w:rsidR="00DC67FC" w:rsidRDefault="00DC67F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части 19 статьи 68</w:t>
        </w:r>
      </w:hyperlink>
      <w:r>
        <w:t xml:space="preserve"> Закона о контрактной системе в течение одного часа после размещения на электронной площадке протокола, указанного в </w:t>
      </w:r>
      <w:hyperlink r:id="rId7" w:history="1">
        <w:r>
          <w:rPr>
            <w:color w:val="0000FF"/>
          </w:rPr>
          <w:t>части 18 статьи 68</w:t>
        </w:r>
      </w:hyperlink>
      <w:r>
        <w:t xml:space="preserve"> Закона о контрактной системе, оператор электронной площадки обязан направить заказчику указанный протокол и вторые части заявок на участие в таком аукционе, поданных его участниками, предложения о цене контракта которых при ранжировании в соответствии с </w:t>
      </w:r>
      <w:hyperlink r:id="rId8" w:history="1">
        <w:r>
          <w:rPr>
            <w:color w:val="0000FF"/>
          </w:rPr>
          <w:t>частью 18 статьи 68</w:t>
        </w:r>
      </w:hyperlink>
      <w:r>
        <w:t xml:space="preserve"> Закона о контрактной системе получили первые десять порядковых номеров, или в случае, если в таком аукционе принимали участие менее чем десять его участников, вторые части заявок на участие в таком аукционе, поданных его участниками.</w:t>
      </w:r>
    </w:p>
    <w:p w:rsidR="00DC67FC" w:rsidRDefault="00DC67F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Частью 3 статьи 69</w:t>
        </w:r>
      </w:hyperlink>
      <w:r>
        <w:t xml:space="preserve"> Закона о контрактной системе установлено, что аукционная комиссия рассматривает вторые части заявок на участие в электронном аукционе, направленных в соответствии с </w:t>
      </w:r>
      <w:hyperlink r:id="rId10" w:history="1">
        <w:r>
          <w:rPr>
            <w:color w:val="0000FF"/>
          </w:rPr>
          <w:t>частью 19 статьи 68</w:t>
        </w:r>
      </w:hyperlink>
      <w:r>
        <w:t xml:space="preserve"> Закона о контрактной системе, до принятия решения о соответствии пяти таких заявок требованиям, установленным документацией о таком аукционе. В случае,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</w:t>
      </w:r>
    </w:p>
    <w:p w:rsidR="00DC67FC" w:rsidRDefault="00DC67FC">
      <w:pPr>
        <w:pStyle w:val="ConsPlusNormal"/>
        <w:spacing w:before="220"/>
        <w:ind w:firstLine="540"/>
        <w:jc w:val="both"/>
      </w:pPr>
      <w:r>
        <w:t xml:space="preserve">Вместе с тем, в случае, если в аукционе принимали участие более 10 участников аукциона, то в соответствии с указанными нормами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 оператор электронной площадки направляет только десять заявок и аукционная комиссия рассматривает заявки участников до принятия решения о соответствии только пяти таких заявок требованиям документации об аукционе. Следовательно, такой порядок направления (рассмотрения) заявок делает невозможным применение ограничений на допуск иностранной продукции, предусмотренных </w:t>
      </w:r>
      <w:hyperlink r:id="rId12" w:history="1">
        <w:r>
          <w:rPr>
            <w:color w:val="0000FF"/>
          </w:rPr>
          <w:t>статьей 14</w:t>
        </w:r>
      </w:hyperlink>
      <w:r>
        <w:t xml:space="preserve"> Закона о контрактной системе, например, механизма "третий лишний".</w:t>
      </w:r>
    </w:p>
    <w:p w:rsidR="00DC67FC" w:rsidRDefault="00DC67FC">
      <w:pPr>
        <w:pStyle w:val="ConsPlusNormal"/>
        <w:spacing w:before="220"/>
        <w:ind w:firstLine="540"/>
        <w:jc w:val="both"/>
      </w:pPr>
      <w:r>
        <w:t>Учитывая изложенное, ФАС России обращает внимание, что в случае, если при проведении закупок заказчиком установлены указанные ограничения, оператор электронной площадки должен направить заказчику заявки всех участников закупки, которые принимали участие в аукционе, и аукционная комиссия должна рассмотреть заявки всех участников закупки, которые принимали участие в аукционе.</w:t>
      </w:r>
    </w:p>
    <w:p w:rsidR="00DC67FC" w:rsidRDefault="00DC67FC">
      <w:pPr>
        <w:pStyle w:val="ConsPlusNormal"/>
        <w:spacing w:before="220"/>
        <w:ind w:firstLine="540"/>
        <w:jc w:val="both"/>
      </w:pPr>
      <w:r>
        <w:t xml:space="preserve">В связи с изложенным, в случае нарушения данного порядка работы территориальные органы ФАС России должны при проведении контрольных мероприятий в решениях устанавливать данные нарушения в действиях аукционных комиссий и выдавать соответствующие предписания об их устранении, в том числе, операторам электронных площадок об обеспечении исполнения данных </w:t>
      </w:r>
      <w:r>
        <w:lastRenderedPageBreak/>
        <w:t>предписаний.</w:t>
      </w:r>
    </w:p>
    <w:p w:rsidR="00DC67FC" w:rsidRDefault="00DC67FC">
      <w:pPr>
        <w:pStyle w:val="ConsPlusNormal"/>
        <w:jc w:val="both"/>
      </w:pPr>
    </w:p>
    <w:p w:rsidR="00DC67FC" w:rsidRDefault="00DC67FC">
      <w:pPr>
        <w:pStyle w:val="ConsPlusNormal"/>
        <w:jc w:val="right"/>
      </w:pPr>
      <w:r>
        <w:t>И.Ю.АРТЕМЬЕВ</w:t>
      </w:r>
    </w:p>
    <w:p w:rsidR="00DC67FC" w:rsidRDefault="00DC67FC">
      <w:pPr>
        <w:pStyle w:val="ConsPlusNormal"/>
        <w:jc w:val="both"/>
      </w:pPr>
      <w:bookmarkStart w:id="0" w:name="_GoBack"/>
      <w:bookmarkEnd w:id="0"/>
    </w:p>
    <w:sectPr w:rsidR="00DC67FC" w:rsidSect="0066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FC"/>
    <w:rsid w:val="00017F96"/>
    <w:rsid w:val="003A2CAF"/>
    <w:rsid w:val="003C20A2"/>
    <w:rsid w:val="00D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55907-D2FD-4C85-9992-F82C29E3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67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67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F0E75540A8D94BA2CC43890AB820C4F4615D490BDC06C2AAAC7318BA740338508A3B5F02AE9E9E71E90CD969104483B944BCE10FF5E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7F0E75540A8D94BA2CC43890AB820C4F4615D490BDC06C2AAAC7318BA740338508A3B5F02AE9E9E71E90CD969104483B944BCE10FF5EM" TargetMode="External"/><Relationship Id="rId12" Type="http://schemas.openxmlformats.org/officeDocument/2006/relationships/hyperlink" Target="consultantplus://offline/ref=A97F0E75540A8D94BA2CC43890AB820C4F4615D490BDC06C2AAAC7318BA740338508A3B3F62DE3BCB0519191D2CD1749329448CE0CFC0A12F55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F0E75540A8D94BA2CC43890AB820C4F4615D490BDC06C2AAAC7318BA740338508A3B3F42BE4B6E20B81959B9813573A8A57CC12FCF05AM" TargetMode="External"/><Relationship Id="rId11" Type="http://schemas.openxmlformats.org/officeDocument/2006/relationships/hyperlink" Target="consultantplus://offline/ref=A97F0E75540A8D94BA2CC43890AB820C4F4615D490BDC06C2AAAC7318BA740339708FBBFF624FCBCB644C7C094F958M" TargetMode="External"/><Relationship Id="rId5" Type="http://schemas.openxmlformats.org/officeDocument/2006/relationships/hyperlink" Target="consultantplus://offline/ref=A97F0E75540A8D94BA2CC43890AB820C4F4615D490BDC06C2AAAC7318BA740339708FBBFF624FCBCB644C7C094F958M" TargetMode="External"/><Relationship Id="rId10" Type="http://schemas.openxmlformats.org/officeDocument/2006/relationships/hyperlink" Target="consultantplus://offline/ref=A97F0E75540A8D94BA2CC43890AB820C4F4615D490BDC06C2AAAC7318BA740338508A3B3F42BE4B6E20B81959B9813573A8A57CC12FCF05AM" TargetMode="External"/><Relationship Id="rId4" Type="http://schemas.openxmlformats.org/officeDocument/2006/relationships/hyperlink" Target="consultantplus://offline/ref=A97F0E75540A8D94BA2CC43890AB820C4F4616D89ABAC06C2AAAC7318BA740338508A3B3F62DE3B8B1519191D2CD1749329448CE0CFC0A12F55FM" TargetMode="External"/><Relationship Id="rId9" Type="http://schemas.openxmlformats.org/officeDocument/2006/relationships/hyperlink" Target="consultantplus://offline/ref=A97F0E75540A8D94BA2CC43890AB820C4F4615D490BDC06C2AAAC7318BA740338508A3B3F42BEAB6E20B81959B9813573A8A57CC12FCF05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2020-10-09T12:57:00Z</dcterms:created>
  <dcterms:modified xsi:type="dcterms:W3CDTF">2020-10-09T13:00:00Z</dcterms:modified>
</cp:coreProperties>
</file>